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65A72" w14:textId="77777777" w:rsidR="005E2CD9" w:rsidRDefault="005E2CD9" w:rsidP="008360A9">
      <w:pPr>
        <w:pStyle w:val="NormalWeb"/>
        <w:jc w:val="center"/>
      </w:pPr>
      <w:r>
        <w:rPr>
          <w:rStyle w:val="Gl"/>
          <w:rFonts w:eastAsiaTheme="majorEastAsia"/>
        </w:rPr>
        <w:t>DOKUZ EYLÜL UNIVERSITY</w:t>
      </w:r>
    </w:p>
    <w:p w14:paraId="68A8C3F1" w14:textId="77777777" w:rsidR="005E2CD9" w:rsidRDefault="005E2CD9" w:rsidP="008360A9">
      <w:pPr>
        <w:pStyle w:val="NormalWeb"/>
        <w:jc w:val="center"/>
      </w:pPr>
      <w:r>
        <w:rPr>
          <w:rStyle w:val="Gl"/>
          <w:rFonts w:eastAsiaTheme="majorEastAsia"/>
        </w:rPr>
        <w:t xml:space="preserve">GUIDELINES FOR THE PROCESS OF ADDRESSING REQUESTS FROM </w:t>
      </w:r>
      <w:bookmarkStart w:id="0" w:name="_GoBack"/>
      <w:bookmarkEnd w:id="0"/>
      <w:r>
        <w:rPr>
          <w:rStyle w:val="Gl"/>
          <w:rFonts w:eastAsiaTheme="majorEastAsia"/>
        </w:rPr>
        <w:t>FOREIGN REPRESENTATIVES</w:t>
      </w:r>
    </w:p>
    <w:p w14:paraId="2D71F069" w14:textId="77777777" w:rsidR="005E2CD9" w:rsidRDefault="005E2CD9" w:rsidP="005E2CD9">
      <w:pPr>
        <w:pStyle w:val="NormalWeb"/>
      </w:pPr>
      <w:r>
        <w:rPr>
          <w:rStyle w:val="Gl"/>
          <w:rFonts w:eastAsiaTheme="majorEastAsia"/>
        </w:rPr>
        <w:t>Last Update:</w:t>
      </w:r>
      <w:r>
        <w:t xml:space="preserve"> August 22, 2024</w:t>
      </w:r>
      <w:r>
        <w:br/>
      </w:r>
      <w:r>
        <w:rPr>
          <w:rStyle w:val="Gl"/>
          <w:rFonts w:eastAsiaTheme="majorEastAsia"/>
        </w:rPr>
        <w:t>Basis:</w:t>
      </w:r>
      <w:r>
        <w:t xml:space="preserve"> Letter dated 23.06.2022, numbered E-73112577-010.07.01-43982, from the General Secretariat of the Presidency of the Council of Higher Education</w:t>
      </w:r>
    </w:p>
    <w:p w14:paraId="0720A94A" w14:textId="77777777" w:rsidR="005E2CD9" w:rsidRDefault="005E2CD9" w:rsidP="005E2CD9">
      <w:pPr>
        <w:pStyle w:val="NormalWeb"/>
      </w:pPr>
      <w:r>
        <w:t xml:space="preserve">This document outlines how </w:t>
      </w:r>
      <w:proofErr w:type="spellStart"/>
      <w:r>
        <w:t>Dokuz</w:t>
      </w:r>
      <w:proofErr w:type="spellEnd"/>
      <w:r>
        <w:t xml:space="preserve"> </w:t>
      </w:r>
      <w:proofErr w:type="spellStart"/>
      <w:r>
        <w:t>Eylül</w:t>
      </w:r>
      <w:proofErr w:type="spellEnd"/>
      <w:r>
        <w:t xml:space="preserve"> University manages requests from foreign representatives regarding various collaboration activities, projects, and events. The process </w:t>
      </w:r>
      <w:proofErr w:type="gramStart"/>
      <w:r>
        <w:t>is meticulously managed</w:t>
      </w:r>
      <w:proofErr w:type="gramEnd"/>
      <w:r>
        <w:t xml:space="preserve"> in alignment with our objectives to strengthen international relations and promote cultural exchange.</w:t>
      </w:r>
    </w:p>
    <w:p w14:paraId="0B0B37C1" w14:textId="77777777" w:rsidR="005E2CD9" w:rsidRDefault="005E2CD9" w:rsidP="005E2CD9">
      <w:pPr>
        <w:pStyle w:val="NormalWeb"/>
      </w:pPr>
      <w:r>
        <w:rPr>
          <w:rStyle w:val="Gl"/>
          <w:rFonts w:eastAsiaTheme="majorEastAsia"/>
        </w:rPr>
        <w:t>Foreign Representatives:</w:t>
      </w:r>
      <w:r>
        <w:t xml:space="preserve"> This term refers to accredited ambassadors, chargés </w:t>
      </w:r>
      <w:proofErr w:type="spellStart"/>
      <w:r>
        <w:t>d’affaires</w:t>
      </w:r>
      <w:proofErr w:type="spellEnd"/>
      <w:r>
        <w:t>, consuls general, and representatives of international organizations officially serving in Turkey.</w:t>
      </w:r>
    </w:p>
    <w:p w14:paraId="48669F9C" w14:textId="77777777" w:rsidR="005E2CD9" w:rsidRDefault="005E2CD9" w:rsidP="005E2CD9">
      <w:pPr>
        <w:pStyle w:val="NormalWeb"/>
      </w:pPr>
      <w:r>
        <w:rPr>
          <w:rStyle w:val="Gl"/>
          <w:rFonts w:eastAsiaTheme="majorEastAsia"/>
        </w:rPr>
        <w:t>Request:</w:t>
      </w:r>
      <w:r>
        <w:t xml:space="preserve"> This includes initiatives such as collaborative activities, joint events, meetings, invitations, projects, school visits, surveys, and promotional efforts with our University.</w:t>
      </w:r>
    </w:p>
    <w:p w14:paraId="2405FBDD" w14:textId="77777777" w:rsidR="005E2CD9" w:rsidRDefault="005E2CD9" w:rsidP="005E2CD9">
      <w:pPr>
        <w:pStyle w:val="Balk3"/>
      </w:pPr>
      <w:r>
        <w:rPr>
          <w:rStyle w:val="Gl"/>
          <w:b w:val="0"/>
          <w:bCs w:val="0"/>
        </w:rPr>
        <w:t>Purpose of the Process</w:t>
      </w:r>
    </w:p>
    <w:p w14:paraId="149C1F1C" w14:textId="77777777" w:rsidR="005E2CD9" w:rsidRDefault="005E2CD9" w:rsidP="005E2CD9">
      <w:pPr>
        <w:pStyle w:val="NormalWeb"/>
      </w:pPr>
      <w:r>
        <w:t xml:space="preserve">This process </w:t>
      </w:r>
      <w:proofErr w:type="gramStart"/>
      <w:r>
        <w:t>is designed</w:t>
      </w:r>
      <w:proofErr w:type="gramEnd"/>
      <w:r>
        <w:t xml:space="preserve"> to facilitate collaboration between university staff and foreign representatives, fostering synergy in cultural and academic fields. Each step ensures the proper and systematic handling of requests while obtaining all necessary legal and academic approvals.</w:t>
      </w:r>
    </w:p>
    <w:p w14:paraId="44623622" w14:textId="77777777" w:rsidR="005E2CD9" w:rsidRDefault="005E2CD9" w:rsidP="005E2CD9">
      <w:pPr>
        <w:pStyle w:val="Balk3"/>
      </w:pPr>
      <w:r>
        <w:rPr>
          <w:rStyle w:val="Gl"/>
          <w:b w:val="0"/>
          <w:bCs w:val="0"/>
        </w:rPr>
        <w:t>Responsibilities</w:t>
      </w:r>
    </w:p>
    <w:p w14:paraId="06C3A2B4" w14:textId="77777777" w:rsidR="005E2CD9" w:rsidRDefault="005E2CD9" w:rsidP="005E2CD9">
      <w:pPr>
        <w:numPr>
          <w:ilvl w:val="0"/>
          <w:numId w:val="11"/>
        </w:numPr>
        <w:spacing w:before="100" w:beforeAutospacing="1" w:after="100" w:afterAutospacing="1" w:line="240" w:lineRule="auto"/>
      </w:pPr>
      <w:r>
        <w:rPr>
          <w:rStyle w:val="Gl"/>
        </w:rPr>
        <w:t>Relevant Academic Unit:</w:t>
      </w:r>
      <w:r>
        <w:t xml:space="preserve"> Faculties, institutes, schools, and vocational schools within the University.</w:t>
      </w:r>
    </w:p>
    <w:p w14:paraId="1A457988" w14:textId="77777777" w:rsidR="005E2CD9" w:rsidRDefault="005E2CD9" w:rsidP="005E2CD9">
      <w:pPr>
        <w:numPr>
          <w:ilvl w:val="0"/>
          <w:numId w:val="11"/>
        </w:numPr>
        <w:spacing w:before="100" w:beforeAutospacing="1" w:after="100" w:afterAutospacing="1" w:line="240" w:lineRule="auto"/>
      </w:pPr>
      <w:r>
        <w:rPr>
          <w:rStyle w:val="Gl"/>
        </w:rPr>
        <w:t>Responsible Person:</w:t>
      </w:r>
      <w:r>
        <w:t xml:space="preserve"> The Dean or Director of the relevant academic unit officially initiates the process.</w:t>
      </w:r>
    </w:p>
    <w:p w14:paraId="76541B56" w14:textId="77777777" w:rsidR="005E2CD9" w:rsidRDefault="005E2CD9" w:rsidP="005E2CD9">
      <w:pPr>
        <w:numPr>
          <w:ilvl w:val="0"/>
          <w:numId w:val="11"/>
        </w:numPr>
        <w:spacing w:before="100" w:beforeAutospacing="1" w:after="100" w:afterAutospacing="1" w:line="240" w:lineRule="auto"/>
      </w:pPr>
      <w:r>
        <w:rPr>
          <w:rStyle w:val="Gl"/>
        </w:rPr>
        <w:t>Intermediary:</w:t>
      </w:r>
      <w:r>
        <w:t xml:space="preserve"> The individual appointed by the responsible person within the academic unit to handle communication and coordination, ensuring the effective management of the process and addressing the request.</w:t>
      </w:r>
    </w:p>
    <w:p w14:paraId="13A9B6A5" w14:textId="77777777" w:rsidR="005E2CD9" w:rsidRDefault="005E2CD9" w:rsidP="005E2CD9">
      <w:pPr>
        <w:numPr>
          <w:ilvl w:val="0"/>
          <w:numId w:val="11"/>
        </w:numPr>
        <w:spacing w:before="100" w:beforeAutospacing="1" w:after="100" w:afterAutospacing="1" w:line="240" w:lineRule="auto"/>
      </w:pPr>
      <w:r>
        <w:rPr>
          <w:rStyle w:val="Gl"/>
        </w:rPr>
        <w:t>Contact Person in the Counterpart Institution:</w:t>
      </w:r>
      <w:r>
        <w:t xml:space="preserve"> The primary contact who provides support at every stage of the collaboration process.</w:t>
      </w:r>
    </w:p>
    <w:p w14:paraId="70D089EA" w14:textId="77777777" w:rsidR="005E2CD9" w:rsidRDefault="005E2CD9" w:rsidP="005E2CD9">
      <w:pPr>
        <w:spacing w:after="0"/>
      </w:pPr>
      <w:r>
        <w:pict w14:anchorId="51EBC1D9">
          <v:rect id="_x0000_i1025" style="width:0;height:1.5pt" o:hralign="center" o:hrstd="t" o:hr="t" fillcolor="#a0a0a0" stroked="f"/>
        </w:pict>
      </w:r>
    </w:p>
    <w:p w14:paraId="0B47DC22" w14:textId="77777777" w:rsidR="005E2CD9" w:rsidRDefault="005E2CD9" w:rsidP="005E2CD9">
      <w:pPr>
        <w:pStyle w:val="Balk3"/>
      </w:pPr>
      <w:r>
        <w:rPr>
          <w:rStyle w:val="Gl"/>
          <w:b w:val="0"/>
          <w:bCs w:val="0"/>
        </w:rPr>
        <w:t>Process Steps</w:t>
      </w:r>
    </w:p>
    <w:p w14:paraId="5ED4BD38" w14:textId="77777777" w:rsidR="005E2CD9" w:rsidRDefault="005E2CD9" w:rsidP="005E2CD9">
      <w:pPr>
        <w:pStyle w:val="Balk4"/>
      </w:pPr>
      <w:r>
        <w:rPr>
          <w:rStyle w:val="Gl"/>
          <w:b w:val="0"/>
          <w:bCs w:val="0"/>
        </w:rPr>
        <w:t>Step 1: Classification, Evaluation, and Forwarding of Requests Based on Their Origin</w:t>
      </w:r>
    </w:p>
    <w:p w14:paraId="226C0861" w14:textId="77777777" w:rsidR="005E2CD9" w:rsidRDefault="005E2CD9" w:rsidP="005E2CD9">
      <w:pPr>
        <w:pStyle w:val="NormalWeb"/>
      </w:pPr>
      <w:r>
        <w:rPr>
          <w:rStyle w:val="Gl"/>
          <w:rFonts w:eastAsiaTheme="majorEastAsia"/>
        </w:rPr>
        <w:t>Responsible Parties:</w:t>
      </w:r>
      <w:r>
        <w:t xml:space="preserve"> Relevant academic unit, General Secretariat, Council of Higher Education (YÖK), Ministry of Foreign Affairs of the Republic of Turkey</w:t>
      </w:r>
    </w:p>
    <w:p w14:paraId="258A2E75" w14:textId="77777777" w:rsidR="005E2CD9" w:rsidRDefault="005E2CD9" w:rsidP="005E2CD9">
      <w:pPr>
        <w:pStyle w:val="NormalWeb"/>
      </w:pPr>
      <w:r>
        <w:lastRenderedPageBreak/>
        <w:t>Requests may originate from foreign representatives or university staff.</w:t>
      </w:r>
    </w:p>
    <w:p w14:paraId="41250157" w14:textId="77777777" w:rsidR="005E2CD9" w:rsidRDefault="005E2CD9" w:rsidP="005E2CD9">
      <w:pPr>
        <w:numPr>
          <w:ilvl w:val="0"/>
          <w:numId w:val="12"/>
        </w:numPr>
        <w:spacing w:before="100" w:beforeAutospacing="1" w:after="100" w:afterAutospacing="1" w:line="240" w:lineRule="auto"/>
      </w:pPr>
      <w:r>
        <w:rPr>
          <w:rStyle w:val="Gl"/>
        </w:rPr>
        <w:t>Foreign Representatives:</w:t>
      </w:r>
      <w:r>
        <w:t xml:space="preserve"> Official requests from accredited embassies, consulates, and representatives of international organizations in Turkey.</w:t>
      </w:r>
    </w:p>
    <w:p w14:paraId="43B14158" w14:textId="77777777" w:rsidR="005E2CD9" w:rsidRDefault="005E2CD9" w:rsidP="005E2CD9">
      <w:pPr>
        <w:numPr>
          <w:ilvl w:val="0"/>
          <w:numId w:val="12"/>
        </w:numPr>
        <w:spacing w:before="100" w:beforeAutospacing="1" w:after="100" w:afterAutospacing="1" w:line="240" w:lineRule="auto"/>
      </w:pPr>
      <w:r>
        <w:rPr>
          <w:rStyle w:val="Gl"/>
        </w:rPr>
        <w:t>University Staff:</w:t>
      </w:r>
      <w:r>
        <w:t xml:space="preserve"> Requests initiated by </w:t>
      </w:r>
      <w:proofErr w:type="spellStart"/>
      <w:r>
        <w:t>Dokuz</w:t>
      </w:r>
      <w:proofErr w:type="spellEnd"/>
      <w:r>
        <w:t xml:space="preserve"> </w:t>
      </w:r>
      <w:proofErr w:type="spellStart"/>
      <w:r>
        <w:t>Eylül</w:t>
      </w:r>
      <w:proofErr w:type="spellEnd"/>
      <w:r>
        <w:t xml:space="preserve"> University faculty, administrative staff, or students.</w:t>
      </w:r>
    </w:p>
    <w:p w14:paraId="0224A58A" w14:textId="77777777" w:rsidR="005E2CD9" w:rsidRDefault="005E2CD9" w:rsidP="005E2CD9">
      <w:pPr>
        <w:pStyle w:val="NormalWeb"/>
      </w:pPr>
      <w:r>
        <w:t xml:space="preserve">For foreign representatives, requests </w:t>
      </w:r>
      <w:proofErr w:type="gramStart"/>
      <w:r>
        <w:t>are managed</w:t>
      </w:r>
      <w:proofErr w:type="gramEnd"/>
      <w:r>
        <w:t xml:space="preserve"> through official protocols. The Rector’s Office informs the Directorate of International Relations Coordination for support in managing the process. The Directorate communicates with the representatives and keeps relevant university bodies informed. Representatives </w:t>
      </w:r>
      <w:proofErr w:type="gramStart"/>
      <w:r>
        <w:t>are instructed</w:t>
      </w:r>
      <w:proofErr w:type="gramEnd"/>
      <w:r>
        <w:t xml:space="preserve"> to apply to the Ministry of Foreign Affairs via an official letter.</w:t>
      </w:r>
    </w:p>
    <w:p w14:paraId="52EF4712" w14:textId="77777777" w:rsidR="005E2CD9" w:rsidRDefault="005E2CD9" w:rsidP="005E2CD9">
      <w:pPr>
        <w:pStyle w:val="NormalWeb"/>
      </w:pPr>
      <w:r>
        <w:t>For university staff, the General Secretariat forwards the request to the relevant academic unit and provides necessary information to other coordination offices. The academic unit evaluates the request for alignment with the University’s policies and strategic goals.</w:t>
      </w:r>
    </w:p>
    <w:p w14:paraId="40865043" w14:textId="77777777" w:rsidR="005E2CD9" w:rsidRDefault="005E2CD9" w:rsidP="005E2CD9">
      <w:pPr>
        <w:pStyle w:val="NormalWeb"/>
      </w:pPr>
      <w:r>
        <w:t xml:space="preserve">If approved, the responsible person notifies the Corporate Communication Coordination Office via </w:t>
      </w:r>
      <w:proofErr w:type="spellStart"/>
      <w:r>
        <w:t>Belgenet</w:t>
      </w:r>
      <w:proofErr w:type="spellEnd"/>
      <w:r>
        <w:t>, detailing the event’s purpose and scope.</w:t>
      </w:r>
    </w:p>
    <w:p w14:paraId="7BC1F932" w14:textId="77777777" w:rsidR="005E2CD9" w:rsidRDefault="005E2CD9" w:rsidP="005E2CD9">
      <w:r>
        <w:pict w14:anchorId="5C787F91">
          <v:rect id="_x0000_i1026" style="width:0;height:1.5pt" o:hralign="center" o:hrstd="t" o:hr="t" fillcolor="#a0a0a0" stroked="f"/>
        </w:pict>
      </w:r>
    </w:p>
    <w:p w14:paraId="5B81F1B7" w14:textId="77777777" w:rsidR="005E2CD9" w:rsidRDefault="005E2CD9" w:rsidP="005E2CD9">
      <w:pPr>
        <w:pStyle w:val="Balk4"/>
      </w:pPr>
      <w:r>
        <w:rPr>
          <w:rStyle w:val="Gl"/>
          <w:b w:val="0"/>
          <w:bCs w:val="0"/>
        </w:rPr>
        <w:t>Step 2: Obtaining and Communicating Approval from the Ministry of Foreign Affairs</w:t>
      </w:r>
    </w:p>
    <w:p w14:paraId="2322F1BE" w14:textId="77777777" w:rsidR="005E2CD9" w:rsidRDefault="005E2CD9" w:rsidP="005E2CD9">
      <w:pPr>
        <w:pStyle w:val="NormalWeb"/>
      </w:pPr>
      <w:r>
        <w:rPr>
          <w:rStyle w:val="Gl"/>
          <w:rFonts w:eastAsiaTheme="majorEastAsia"/>
        </w:rPr>
        <w:t>Responsible Parties:</w:t>
      </w:r>
      <w:r>
        <w:t xml:space="preserve"> General Secretariat, Council of Higher Education (YÖK), Ministry of Foreign Affairs</w:t>
      </w:r>
    </w:p>
    <w:p w14:paraId="0EA0CDF5" w14:textId="77777777" w:rsidR="005E2CD9" w:rsidRDefault="005E2CD9" w:rsidP="005E2CD9">
      <w:pPr>
        <w:pStyle w:val="NormalWeb"/>
      </w:pPr>
      <w:r>
        <w:t>The General Secretariat evaluates requests from university staff and initiates the process for obtaining approval from the Ministry of Foreign Affairs via YÖK.</w:t>
      </w:r>
    </w:p>
    <w:p w14:paraId="4A09F1DE" w14:textId="77777777" w:rsidR="005E2CD9" w:rsidRDefault="005E2CD9" w:rsidP="005E2CD9">
      <w:pPr>
        <w:numPr>
          <w:ilvl w:val="0"/>
          <w:numId w:val="13"/>
        </w:numPr>
        <w:spacing w:before="100" w:beforeAutospacing="1" w:after="100" w:afterAutospacing="1" w:line="240" w:lineRule="auto"/>
      </w:pPr>
      <w:r>
        <w:t>YÖK assesses the request and, if approved, forwards it to the Ministry for diplomatic evaluation.</w:t>
      </w:r>
    </w:p>
    <w:p w14:paraId="7A909E86" w14:textId="77777777" w:rsidR="005E2CD9" w:rsidRDefault="005E2CD9" w:rsidP="005E2CD9">
      <w:pPr>
        <w:numPr>
          <w:ilvl w:val="0"/>
          <w:numId w:val="13"/>
        </w:numPr>
        <w:spacing w:before="100" w:beforeAutospacing="1" w:after="100" w:afterAutospacing="1" w:line="240" w:lineRule="auto"/>
      </w:pPr>
      <w:r>
        <w:t xml:space="preserve">Decisions from the Ministry </w:t>
      </w:r>
      <w:proofErr w:type="gramStart"/>
      <w:r>
        <w:t>are communicated</w:t>
      </w:r>
      <w:proofErr w:type="gramEnd"/>
      <w:r>
        <w:t xml:space="preserve"> back through YÖK to the General Secretariat, which notifies relevant units.</w:t>
      </w:r>
    </w:p>
    <w:p w14:paraId="191E6275" w14:textId="77777777" w:rsidR="005E2CD9" w:rsidRDefault="005E2CD9" w:rsidP="005E2CD9">
      <w:pPr>
        <w:spacing w:after="0"/>
      </w:pPr>
      <w:r>
        <w:pict w14:anchorId="15C2C06F">
          <v:rect id="_x0000_i1027" style="width:0;height:1.5pt" o:hralign="center" o:hrstd="t" o:hr="t" fillcolor="#a0a0a0" stroked="f"/>
        </w:pict>
      </w:r>
    </w:p>
    <w:p w14:paraId="3DB3EC02" w14:textId="77777777" w:rsidR="005E2CD9" w:rsidRDefault="005E2CD9" w:rsidP="005E2CD9">
      <w:pPr>
        <w:pStyle w:val="Balk4"/>
      </w:pPr>
      <w:r>
        <w:rPr>
          <w:rStyle w:val="Gl"/>
          <w:b w:val="0"/>
          <w:bCs w:val="0"/>
        </w:rPr>
        <w:t>Step 3: Evaluation and Fulfillment of Requests</w:t>
      </w:r>
    </w:p>
    <w:p w14:paraId="3A71E9D6" w14:textId="77777777" w:rsidR="005E2CD9" w:rsidRDefault="005E2CD9" w:rsidP="005E2CD9">
      <w:pPr>
        <w:pStyle w:val="NormalWeb"/>
      </w:pPr>
      <w:r>
        <w:rPr>
          <w:rStyle w:val="Gl"/>
          <w:rFonts w:eastAsiaTheme="majorEastAsia"/>
        </w:rPr>
        <w:t>Responsible Parties:</w:t>
      </w:r>
      <w:r>
        <w:t xml:space="preserve"> Relevant academic unit, General Secretariat</w:t>
      </w:r>
    </w:p>
    <w:p w14:paraId="3F2479CE" w14:textId="77777777" w:rsidR="005E2CD9" w:rsidRDefault="005E2CD9" w:rsidP="005E2CD9">
      <w:pPr>
        <w:pStyle w:val="NormalWeb"/>
      </w:pPr>
      <w:r>
        <w:t>If approved, the responsible person assigns intermediaries to coordinate and manage the event or collaboration, including detailed planning and execution.</w:t>
      </w:r>
    </w:p>
    <w:p w14:paraId="75619D1D" w14:textId="77777777" w:rsidR="005E2CD9" w:rsidRDefault="005E2CD9" w:rsidP="005E2CD9">
      <w:pPr>
        <w:numPr>
          <w:ilvl w:val="0"/>
          <w:numId w:val="14"/>
        </w:numPr>
        <w:spacing w:before="100" w:beforeAutospacing="1" w:after="100" w:afterAutospacing="1" w:line="240" w:lineRule="auto"/>
      </w:pPr>
      <w:r>
        <w:t xml:space="preserve">Necessary preparations, such as venue arrangements and event scheduling, </w:t>
      </w:r>
      <w:proofErr w:type="gramStart"/>
      <w:r>
        <w:t>are handled</w:t>
      </w:r>
      <w:proofErr w:type="gramEnd"/>
      <w:r>
        <w:t>.</w:t>
      </w:r>
    </w:p>
    <w:p w14:paraId="3CD5541A" w14:textId="77777777" w:rsidR="005E2CD9" w:rsidRDefault="005E2CD9" w:rsidP="005E2CD9">
      <w:pPr>
        <w:numPr>
          <w:ilvl w:val="0"/>
          <w:numId w:val="14"/>
        </w:numPr>
        <w:spacing w:before="100" w:beforeAutospacing="1" w:after="100" w:afterAutospacing="1" w:line="240" w:lineRule="auto"/>
      </w:pPr>
      <w:r>
        <w:t>The intermediary ensures smooth operations during the event.</w:t>
      </w:r>
    </w:p>
    <w:p w14:paraId="5F0838F1" w14:textId="77777777" w:rsidR="005E2CD9" w:rsidRDefault="005E2CD9" w:rsidP="005E2CD9">
      <w:pPr>
        <w:spacing w:after="0"/>
      </w:pPr>
      <w:r>
        <w:lastRenderedPageBreak/>
        <w:pict w14:anchorId="6B5D253C">
          <v:rect id="_x0000_i1028" style="width:0;height:1.5pt" o:hralign="center" o:hrstd="t" o:hr="t" fillcolor="#a0a0a0" stroked="f"/>
        </w:pict>
      </w:r>
    </w:p>
    <w:p w14:paraId="597D6B0A" w14:textId="77777777" w:rsidR="005E2CD9" w:rsidRDefault="005E2CD9" w:rsidP="005E2CD9">
      <w:pPr>
        <w:pStyle w:val="Balk4"/>
      </w:pPr>
      <w:r>
        <w:rPr>
          <w:rStyle w:val="Gl"/>
          <w:b w:val="0"/>
          <w:bCs w:val="0"/>
        </w:rPr>
        <w:t>Step 4: Communication and Information Sharing</w:t>
      </w:r>
    </w:p>
    <w:p w14:paraId="3B803148" w14:textId="77777777" w:rsidR="005E2CD9" w:rsidRDefault="005E2CD9" w:rsidP="005E2CD9">
      <w:pPr>
        <w:pStyle w:val="NormalWeb"/>
      </w:pPr>
      <w:r>
        <w:rPr>
          <w:rStyle w:val="Gl"/>
          <w:rFonts w:eastAsiaTheme="majorEastAsia"/>
        </w:rPr>
        <w:t>Responsible Party:</w:t>
      </w:r>
      <w:r>
        <w:t xml:space="preserve"> Relevant academic unit</w:t>
      </w:r>
    </w:p>
    <w:p w14:paraId="3FEF580B" w14:textId="77777777" w:rsidR="005E2CD9" w:rsidRDefault="005E2CD9" w:rsidP="005E2CD9">
      <w:pPr>
        <w:pStyle w:val="NormalWeb"/>
      </w:pPr>
      <w:r>
        <w:t xml:space="preserve">Post-event, the intermediary prepares an information note summarizing outcomes and potential future recommendations. This note </w:t>
      </w:r>
      <w:proofErr w:type="gramStart"/>
      <w:r>
        <w:t>is submitted</w:t>
      </w:r>
      <w:proofErr w:type="gramEnd"/>
      <w:r>
        <w:t xml:space="preserve"> to the General Secretariat, Corporate Communication Coordination Office, and the Directorate of International Relations.</w:t>
      </w:r>
    </w:p>
    <w:p w14:paraId="5C11835F" w14:textId="77777777" w:rsidR="005E2CD9" w:rsidRDefault="005E2CD9" w:rsidP="005E2CD9">
      <w:r>
        <w:pict w14:anchorId="6F6A5080">
          <v:rect id="_x0000_i1029" style="width:0;height:1.5pt" o:hralign="center" o:hrstd="t" o:hr="t" fillcolor="#a0a0a0" stroked="f"/>
        </w:pict>
      </w:r>
    </w:p>
    <w:p w14:paraId="26E9CA80" w14:textId="77777777" w:rsidR="005E2CD9" w:rsidRDefault="005E2CD9" w:rsidP="005E2CD9">
      <w:pPr>
        <w:pStyle w:val="Balk4"/>
      </w:pPr>
      <w:r>
        <w:rPr>
          <w:rStyle w:val="Gl"/>
          <w:b w:val="0"/>
          <w:bCs w:val="0"/>
        </w:rPr>
        <w:t>Step 5: Final Approval and Reporting</w:t>
      </w:r>
    </w:p>
    <w:p w14:paraId="720A550F" w14:textId="77777777" w:rsidR="005E2CD9" w:rsidRDefault="005E2CD9" w:rsidP="005E2CD9">
      <w:pPr>
        <w:pStyle w:val="NormalWeb"/>
      </w:pPr>
      <w:r>
        <w:rPr>
          <w:rStyle w:val="Gl"/>
          <w:rFonts w:eastAsiaTheme="majorEastAsia"/>
        </w:rPr>
        <w:t>Responsible Party:</w:t>
      </w:r>
      <w:r>
        <w:t xml:space="preserve"> General Secretariat</w:t>
      </w:r>
    </w:p>
    <w:p w14:paraId="116E0202" w14:textId="77777777" w:rsidR="005E2CD9" w:rsidRDefault="005E2CD9" w:rsidP="005E2CD9">
      <w:pPr>
        <w:pStyle w:val="NormalWeb"/>
      </w:pPr>
      <w:r>
        <w:t xml:space="preserve">The General Secretariat reviews the information note and reports the outcomes to YÖK. If necessary, YÖK informs the Ministry of Foreign Affairs. Upon completing this reporting process, the request cycle </w:t>
      </w:r>
      <w:proofErr w:type="gramStart"/>
      <w:r>
        <w:t>is formally concluded</w:t>
      </w:r>
      <w:proofErr w:type="gramEnd"/>
      <w:r>
        <w:t>.</w:t>
      </w:r>
    </w:p>
    <w:p w14:paraId="444FCD62" w14:textId="77777777" w:rsidR="005E2CD9" w:rsidRDefault="005E2CD9" w:rsidP="005E2CD9">
      <w:r>
        <w:pict w14:anchorId="5C9F394E">
          <v:rect id="_x0000_i1030" style="width:0;height:1.5pt" o:hralign="center" o:hrstd="t" o:hr="t" fillcolor="#a0a0a0" stroked="f"/>
        </w:pict>
      </w:r>
    </w:p>
    <w:p w14:paraId="44870D75" w14:textId="77777777" w:rsidR="005E2CD9" w:rsidRDefault="005E2CD9" w:rsidP="005E2CD9">
      <w:pPr>
        <w:pStyle w:val="Balk3"/>
      </w:pPr>
      <w:r>
        <w:rPr>
          <w:rStyle w:val="Gl"/>
          <w:b w:val="0"/>
          <w:bCs w:val="0"/>
        </w:rPr>
        <w:t>Successful Completion</w:t>
      </w:r>
    </w:p>
    <w:p w14:paraId="0C1C07B7" w14:textId="77777777" w:rsidR="005E2CD9" w:rsidRDefault="005E2CD9" w:rsidP="005E2CD9">
      <w:pPr>
        <w:pStyle w:val="NormalWeb"/>
      </w:pPr>
      <w:r>
        <w:t>This process ensures structured, transparent, and effective management of requests from foreign representatives, supporting the University’s mission to enhance international collaboration and cultural exchange.</w:t>
      </w:r>
    </w:p>
    <w:p w14:paraId="730E9EA2" w14:textId="1EC04A36" w:rsidR="00F523D6" w:rsidRPr="005E2CD9" w:rsidRDefault="00F523D6" w:rsidP="005E2CD9"/>
    <w:sectPr w:rsidR="00F523D6" w:rsidRPr="005E2CD9" w:rsidSect="00F5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0C8B"/>
    <w:multiLevelType w:val="hybridMultilevel"/>
    <w:tmpl w:val="CFA4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F37A9"/>
    <w:multiLevelType w:val="hybridMultilevel"/>
    <w:tmpl w:val="31BC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30A4D"/>
    <w:multiLevelType w:val="multilevel"/>
    <w:tmpl w:val="A9BE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6184B"/>
    <w:multiLevelType w:val="hybridMultilevel"/>
    <w:tmpl w:val="6F94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130CF"/>
    <w:multiLevelType w:val="multilevel"/>
    <w:tmpl w:val="7156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735DFD"/>
    <w:multiLevelType w:val="hybridMultilevel"/>
    <w:tmpl w:val="893A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72DB6"/>
    <w:multiLevelType w:val="multilevel"/>
    <w:tmpl w:val="9426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F0A73"/>
    <w:multiLevelType w:val="hybridMultilevel"/>
    <w:tmpl w:val="07B2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6561F"/>
    <w:multiLevelType w:val="multilevel"/>
    <w:tmpl w:val="7C78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50A4B"/>
    <w:multiLevelType w:val="hybridMultilevel"/>
    <w:tmpl w:val="58EC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30321"/>
    <w:multiLevelType w:val="hybridMultilevel"/>
    <w:tmpl w:val="9514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623B9"/>
    <w:multiLevelType w:val="multilevel"/>
    <w:tmpl w:val="6BDE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1B7917"/>
    <w:multiLevelType w:val="hybridMultilevel"/>
    <w:tmpl w:val="8AD2F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822332"/>
    <w:multiLevelType w:val="hybridMultilevel"/>
    <w:tmpl w:val="BF9E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2"/>
  </w:num>
  <w:num w:numId="5">
    <w:abstractNumId w:val="5"/>
  </w:num>
  <w:num w:numId="6">
    <w:abstractNumId w:val="7"/>
  </w:num>
  <w:num w:numId="7">
    <w:abstractNumId w:val="0"/>
  </w:num>
  <w:num w:numId="8">
    <w:abstractNumId w:val="3"/>
  </w:num>
  <w:num w:numId="9">
    <w:abstractNumId w:val="13"/>
  </w:num>
  <w:num w:numId="10">
    <w:abstractNumId w:val="2"/>
  </w:num>
  <w:num w:numId="11">
    <w:abstractNumId w:val="4"/>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D6"/>
    <w:rsid w:val="000515A3"/>
    <w:rsid w:val="00092711"/>
    <w:rsid w:val="000E00DD"/>
    <w:rsid w:val="000F0E9B"/>
    <w:rsid w:val="001168E0"/>
    <w:rsid w:val="001335B3"/>
    <w:rsid w:val="001C0250"/>
    <w:rsid w:val="00214F6E"/>
    <w:rsid w:val="002D4C0A"/>
    <w:rsid w:val="002E5FFB"/>
    <w:rsid w:val="00314992"/>
    <w:rsid w:val="00331C47"/>
    <w:rsid w:val="003572E9"/>
    <w:rsid w:val="00360DF6"/>
    <w:rsid w:val="00376E61"/>
    <w:rsid w:val="00377DC6"/>
    <w:rsid w:val="003E6301"/>
    <w:rsid w:val="003F23D9"/>
    <w:rsid w:val="004C744F"/>
    <w:rsid w:val="00537492"/>
    <w:rsid w:val="005E2CD9"/>
    <w:rsid w:val="005F10E8"/>
    <w:rsid w:val="00606FA7"/>
    <w:rsid w:val="00627C9F"/>
    <w:rsid w:val="006319CA"/>
    <w:rsid w:val="006442E8"/>
    <w:rsid w:val="00671737"/>
    <w:rsid w:val="00730B8D"/>
    <w:rsid w:val="007C233E"/>
    <w:rsid w:val="008360A9"/>
    <w:rsid w:val="00847E4D"/>
    <w:rsid w:val="0087622F"/>
    <w:rsid w:val="00877D2B"/>
    <w:rsid w:val="008B0298"/>
    <w:rsid w:val="00942BFA"/>
    <w:rsid w:val="009758BD"/>
    <w:rsid w:val="009A60BA"/>
    <w:rsid w:val="009B6FCD"/>
    <w:rsid w:val="00A03F18"/>
    <w:rsid w:val="00A33C54"/>
    <w:rsid w:val="00A45E98"/>
    <w:rsid w:val="00A61376"/>
    <w:rsid w:val="00A7166C"/>
    <w:rsid w:val="00AA30EA"/>
    <w:rsid w:val="00AA7363"/>
    <w:rsid w:val="00AE2161"/>
    <w:rsid w:val="00B056BC"/>
    <w:rsid w:val="00B6558C"/>
    <w:rsid w:val="00B740CB"/>
    <w:rsid w:val="00BB2005"/>
    <w:rsid w:val="00C00896"/>
    <w:rsid w:val="00C3569F"/>
    <w:rsid w:val="00C442A6"/>
    <w:rsid w:val="00C5497B"/>
    <w:rsid w:val="00C60383"/>
    <w:rsid w:val="00C80AAC"/>
    <w:rsid w:val="00C94FB3"/>
    <w:rsid w:val="00CA4EA8"/>
    <w:rsid w:val="00CC1FA0"/>
    <w:rsid w:val="00CC3B38"/>
    <w:rsid w:val="00DB3BD9"/>
    <w:rsid w:val="00E05BFA"/>
    <w:rsid w:val="00E412B2"/>
    <w:rsid w:val="00E66A1E"/>
    <w:rsid w:val="00E83C64"/>
    <w:rsid w:val="00E8744B"/>
    <w:rsid w:val="00E92E2F"/>
    <w:rsid w:val="00ED699F"/>
    <w:rsid w:val="00F523D6"/>
    <w:rsid w:val="00F92505"/>
    <w:rsid w:val="00F940F8"/>
    <w:rsid w:val="00FD5831"/>
    <w:rsid w:val="00FF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6C95"/>
  <w15:chartTrackingRefBased/>
  <w15:docId w15:val="{5F598CD2-C3A3-476A-8DDF-52AB020E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DB4"/>
  </w:style>
  <w:style w:type="paragraph" w:styleId="Balk1">
    <w:name w:val="heading 1"/>
    <w:basedOn w:val="Normal"/>
    <w:next w:val="Normal"/>
    <w:link w:val="Balk1Char"/>
    <w:uiPriority w:val="9"/>
    <w:qFormat/>
    <w:rsid w:val="00F52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52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523D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F523D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523D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523D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523D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523D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523D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23D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523D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523D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F523D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523D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523D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523D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523D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523D6"/>
    <w:rPr>
      <w:rFonts w:eastAsiaTheme="majorEastAsia" w:cstheme="majorBidi"/>
      <w:color w:val="272727" w:themeColor="text1" w:themeTint="D8"/>
    </w:rPr>
  </w:style>
  <w:style w:type="paragraph" w:styleId="KonuBal">
    <w:name w:val="Title"/>
    <w:basedOn w:val="Normal"/>
    <w:next w:val="Normal"/>
    <w:link w:val="KonuBalChar"/>
    <w:uiPriority w:val="10"/>
    <w:qFormat/>
    <w:rsid w:val="00F52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523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523D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523D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523D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523D6"/>
    <w:rPr>
      <w:i/>
      <w:iCs/>
      <w:color w:val="404040" w:themeColor="text1" w:themeTint="BF"/>
    </w:rPr>
  </w:style>
  <w:style w:type="paragraph" w:styleId="ListeParagraf">
    <w:name w:val="List Paragraph"/>
    <w:basedOn w:val="Normal"/>
    <w:uiPriority w:val="34"/>
    <w:qFormat/>
    <w:rsid w:val="00F523D6"/>
    <w:pPr>
      <w:ind w:left="720"/>
      <w:contextualSpacing/>
    </w:pPr>
  </w:style>
  <w:style w:type="character" w:styleId="GlVurgulama">
    <w:name w:val="Intense Emphasis"/>
    <w:basedOn w:val="VarsaylanParagrafYazTipi"/>
    <w:uiPriority w:val="21"/>
    <w:qFormat/>
    <w:rsid w:val="00F523D6"/>
    <w:rPr>
      <w:i/>
      <w:iCs/>
      <w:color w:val="0F4761" w:themeColor="accent1" w:themeShade="BF"/>
    </w:rPr>
  </w:style>
  <w:style w:type="paragraph" w:styleId="GlAlnt">
    <w:name w:val="Intense Quote"/>
    <w:basedOn w:val="Normal"/>
    <w:next w:val="Normal"/>
    <w:link w:val="GlAlntChar"/>
    <w:uiPriority w:val="30"/>
    <w:qFormat/>
    <w:rsid w:val="00F52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523D6"/>
    <w:rPr>
      <w:i/>
      <w:iCs/>
      <w:color w:val="0F4761" w:themeColor="accent1" w:themeShade="BF"/>
    </w:rPr>
  </w:style>
  <w:style w:type="character" w:styleId="GlBavuru">
    <w:name w:val="Intense Reference"/>
    <w:basedOn w:val="VarsaylanParagrafYazTipi"/>
    <w:uiPriority w:val="32"/>
    <w:qFormat/>
    <w:rsid w:val="00F523D6"/>
    <w:rPr>
      <w:b/>
      <w:bCs/>
      <w:smallCaps/>
      <w:color w:val="0F4761" w:themeColor="accent1" w:themeShade="BF"/>
      <w:spacing w:val="5"/>
    </w:rPr>
  </w:style>
  <w:style w:type="character" w:styleId="Kpr">
    <w:name w:val="Hyperlink"/>
    <w:basedOn w:val="VarsaylanParagrafYazTipi"/>
    <w:uiPriority w:val="99"/>
    <w:unhideWhenUsed/>
    <w:rsid w:val="00F523D6"/>
    <w:rPr>
      <w:color w:val="0000FF"/>
      <w:u w:val="single"/>
    </w:rPr>
  </w:style>
  <w:style w:type="paragraph" w:styleId="NormalWeb">
    <w:name w:val="Normal (Web)"/>
    <w:basedOn w:val="Normal"/>
    <w:uiPriority w:val="99"/>
    <w:semiHidden/>
    <w:unhideWhenUsed/>
    <w:rsid w:val="00F523D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2E5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99947114">
      <w:bodyDiv w:val="1"/>
      <w:marLeft w:val="0"/>
      <w:marRight w:val="0"/>
      <w:marTop w:val="0"/>
      <w:marBottom w:val="0"/>
      <w:divBdr>
        <w:top w:val="none" w:sz="0" w:space="0" w:color="auto"/>
        <w:left w:val="none" w:sz="0" w:space="0" w:color="auto"/>
        <w:bottom w:val="none" w:sz="0" w:space="0" w:color="auto"/>
        <w:right w:val="none" w:sz="0" w:space="0" w:color="auto"/>
      </w:divBdr>
    </w:div>
    <w:div w:id="901865160">
      <w:bodyDiv w:val="1"/>
      <w:marLeft w:val="0"/>
      <w:marRight w:val="0"/>
      <w:marTop w:val="0"/>
      <w:marBottom w:val="0"/>
      <w:divBdr>
        <w:top w:val="none" w:sz="0" w:space="0" w:color="auto"/>
        <w:left w:val="none" w:sz="0" w:space="0" w:color="auto"/>
        <w:bottom w:val="none" w:sz="0" w:space="0" w:color="auto"/>
        <w:right w:val="none" w:sz="0" w:space="0" w:color="auto"/>
      </w:divBdr>
    </w:div>
    <w:div w:id="1305155995">
      <w:bodyDiv w:val="1"/>
      <w:marLeft w:val="0"/>
      <w:marRight w:val="0"/>
      <w:marTop w:val="0"/>
      <w:marBottom w:val="0"/>
      <w:divBdr>
        <w:top w:val="none" w:sz="0" w:space="0" w:color="auto"/>
        <w:left w:val="none" w:sz="0" w:space="0" w:color="auto"/>
        <w:bottom w:val="none" w:sz="0" w:space="0" w:color="auto"/>
        <w:right w:val="none" w:sz="0" w:space="0" w:color="auto"/>
      </w:divBdr>
    </w:div>
    <w:div w:id="14063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Cagle</dc:creator>
  <cp:keywords/>
  <dc:description/>
  <cp:lastModifiedBy>Arif Selçuk Güzelay</cp:lastModifiedBy>
  <cp:revision>6</cp:revision>
  <dcterms:created xsi:type="dcterms:W3CDTF">2024-09-20T19:13:00Z</dcterms:created>
  <dcterms:modified xsi:type="dcterms:W3CDTF">2025-01-13T08:32:00Z</dcterms:modified>
</cp:coreProperties>
</file>